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9C" w:rsidRDefault="00C16C9C">
      <w:pPr>
        <w:rPr>
          <w:rFonts w:ascii="Arial" w:hAnsi="Arial" w:cs="Arial"/>
          <w:color w:val="44546A" w:themeColor="text2"/>
          <w:sz w:val="28"/>
          <w:szCs w:val="28"/>
          <w:u w:val="single"/>
        </w:rPr>
      </w:pPr>
      <w:r>
        <w:rPr>
          <w:rFonts w:ascii="Arial" w:hAnsi="Arial" w:cs="Arial"/>
          <w:color w:val="44546A" w:themeColor="text2"/>
          <w:sz w:val="28"/>
          <w:szCs w:val="28"/>
          <w:u w:val="single"/>
        </w:rPr>
        <w:t xml:space="preserve">Central Health Solutions Ltd </w:t>
      </w:r>
    </w:p>
    <w:p w:rsidR="00C16C9C" w:rsidRDefault="00C16C9C">
      <w:pPr>
        <w:rPr>
          <w:rFonts w:ascii="Arial" w:hAnsi="Arial" w:cs="Arial"/>
          <w:color w:val="44546A" w:themeColor="text2"/>
          <w:sz w:val="28"/>
          <w:szCs w:val="28"/>
          <w:u w:val="single"/>
        </w:rPr>
      </w:pPr>
    </w:p>
    <w:p w:rsidR="00460EE5" w:rsidRPr="00B639DE" w:rsidRDefault="00073E97">
      <w:pPr>
        <w:rPr>
          <w:rFonts w:ascii="Arial" w:hAnsi="Arial" w:cs="Arial"/>
          <w:color w:val="44546A" w:themeColor="text2"/>
          <w:sz w:val="28"/>
          <w:szCs w:val="28"/>
          <w:u w:val="single"/>
        </w:rPr>
      </w:pPr>
      <w:bookmarkStart w:id="0" w:name="_GoBack"/>
      <w:bookmarkEnd w:id="0"/>
      <w:r w:rsidRPr="00B639DE">
        <w:rPr>
          <w:rFonts w:ascii="Arial" w:hAnsi="Arial" w:cs="Arial"/>
          <w:color w:val="44546A" w:themeColor="text2"/>
          <w:sz w:val="28"/>
          <w:szCs w:val="28"/>
          <w:u w:val="single"/>
        </w:rPr>
        <w:t>Data Retention Policy</w:t>
      </w:r>
    </w:p>
    <w:p w:rsidR="00875222" w:rsidRPr="00B639DE" w:rsidRDefault="00875222">
      <w:pPr>
        <w:rPr>
          <w:rFonts w:ascii="Arial" w:hAnsi="Arial" w:cs="Arial"/>
          <w:color w:val="44546A" w:themeColor="text2"/>
          <w:sz w:val="28"/>
          <w:szCs w:val="28"/>
          <w:u w:val="single"/>
        </w:rPr>
      </w:pPr>
    </w:p>
    <w:p w:rsidR="00875222" w:rsidRPr="00B639DE" w:rsidRDefault="00875222">
      <w:pPr>
        <w:rPr>
          <w:rFonts w:ascii="Arial" w:hAnsi="Arial" w:cs="Arial"/>
          <w:color w:val="44546A" w:themeColor="text2"/>
          <w:sz w:val="28"/>
          <w:szCs w:val="28"/>
        </w:rPr>
      </w:pPr>
      <w:r w:rsidRPr="00B639DE">
        <w:rPr>
          <w:rFonts w:ascii="Arial" w:hAnsi="Arial" w:cs="Arial"/>
          <w:color w:val="44546A" w:themeColor="text2"/>
          <w:sz w:val="28"/>
          <w:szCs w:val="28"/>
        </w:rPr>
        <w:t>Central Health Solutions is committed to looking after your data and only keeping it for as long as it is necessary.</w:t>
      </w:r>
    </w:p>
    <w:p w:rsidR="00E777DC" w:rsidRPr="00B639DE" w:rsidRDefault="00E777DC">
      <w:pPr>
        <w:rPr>
          <w:rFonts w:ascii="Arial" w:hAnsi="Arial" w:cs="Arial"/>
          <w:color w:val="44546A" w:themeColor="text2"/>
          <w:sz w:val="28"/>
          <w:szCs w:val="28"/>
        </w:rPr>
      </w:pPr>
    </w:p>
    <w:p w:rsidR="00E777DC" w:rsidRPr="00B639DE" w:rsidRDefault="00E777DC">
      <w:pPr>
        <w:rPr>
          <w:rFonts w:ascii="Arial" w:hAnsi="Arial" w:cs="Arial"/>
          <w:color w:val="44546A" w:themeColor="text2"/>
          <w:sz w:val="28"/>
          <w:szCs w:val="28"/>
        </w:rPr>
      </w:pPr>
      <w:r w:rsidRPr="00B639DE">
        <w:rPr>
          <w:rFonts w:ascii="Arial" w:hAnsi="Arial" w:cs="Arial"/>
          <w:color w:val="44546A" w:themeColor="text2"/>
          <w:sz w:val="28"/>
          <w:szCs w:val="28"/>
        </w:rPr>
        <w:t xml:space="preserve">If you are a subscriber to our website and receive mailings or other communications without any financial commitment or </w:t>
      </w:r>
      <w:proofErr w:type="gramStart"/>
      <w:r w:rsidRPr="00B639DE">
        <w:rPr>
          <w:rFonts w:ascii="Arial" w:hAnsi="Arial" w:cs="Arial"/>
          <w:color w:val="44546A" w:themeColor="text2"/>
          <w:sz w:val="28"/>
          <w:szCs w:val="28"/>
        </w:rPr>
        <w:t>contract</w:t>
      </w:r>
      <w:proofErr w:type="gramEnd"/>
      <w:r w:rsidRPr="00B639DE">
        <w:rPr>
          <w:rFonts w:ascii="Arial" w:hAnsi="Arial" w:cs="Arial"/>
          <w:color w:val="44546A" w:themeColor="text2"/>
          <w:sz w:val="28"/>
          <w:szCs w:val="28"/>
        </w:rPr>
        <w:t xml:space="preserve"> then we will keep your data for a maximum of two years.</w:t>
      </w:r>
    </w:p>
    <w:p w:rsidR="00E777DC" w:rsidRPr="00B639DE" w:rsidRDefault="00E777DC">
      <w:pPr>
        <w:rPr>
          <w:rFonts w:ascii="Arial" w:hAnsi="Arial" w:cs="Arial"/>
          <w:color w:val="44546A" w:themeColor="text2"/>
          <w:sz w:val="28"/>
          <w:szCs w:val="28"/>
        </w:rPr>
      </w:pPr>
    </w:p>
    <w:p w:rsidR="00E777DC" w:rsidRPr="00B639DE" w:rsidRDefault="00E777DC">
      <w:pPr>
        <w:rPr>
          <w:rFonts w:ascii="Arial" w:hAnsi="Arial" w:cs="Arial"/>
          <w:color w:val="44546A" w:themeColor="text2"/>
          <w:sz w:val="28"/>
          <w:szCs w:val="28"/>
        </w:rPr>
      </w:pPr>
      <w:r w:rsidRPr="00B639DE">
        <w:rPr>
          <w:rFonts w:ascii="Arial" w:hAnsi="Arial" w:cs="Arial"/>
          <w:color w:val="44546A" w:themeColor="text2"/>
          <w:sz w:val="28"/>
          <w:szCs w:val="28"/>
        </w:rPr>
        <w:t>If</w:t>
      </w:r>
      <w:r w:rsidR="005D1B58">
        <w:rPr>
          <w:rFonts w:ascii="Arial" w:hAnsi="Arial" w:cs="Arial"/>
          <w:color w:val="44546A" w:themeColor="text2"/>
          <w:sz w:val="28"/>
          <w:szCs w:val="28"/>
        </w:rPr>
        <w:t xml:space="preserve"> the </w:t>
      </w:r>
      <w:proofErr w:type="gramStart"/>
      <w:r w:rsidR="005D1B58">
        <w:rPr>
          <w:rFonts w:ascii="Arial" w:hAnsi="Arial" w:cs="Arial"/>
          <w:color w:val="44546A" w:themeColor="text2"/>
          <w:sz w:val="28"/>
          <w:szCs w:val="28"/>
        </w:rPr>
        <w:t>data</w:t>
      </w:r>
      <w:proofErr w:type="gramEnd"/>
      <w:r w:rsidR="005D1B58">
        <w:rPr>
          <w:rFonts w:ascii="Arial" w:hAnsi="Arial" w:cs="Arial"/>
          <w:color w:val="44546A" w:themeColor="text2"/>
          <w:sz w:val="28"/>
          <w:szCs w:val="28"/>
        </w:rPr>
        <w:t xml:space="preserve"> we hold for you</w:t>
      </w:r>
      <w:r w:rsidRPr="00B639DE">
        <w:rPr>
          <w:rFonts w:ascii="Arial" w:hAnsi="Arial" w:cs="Arial"/>
          <w:color w:val="44546A" w:themeColor="text2"/>
          <w:sz w:val="28"/>
          <w:szCs w:val="28"/>
        </w:rPr>
        <w:t xml:space="preserve"> forms part of a business contract or financial transaction</w:t>
      </w:r>
      <w:r w:rsidR="00621BCE" w:rsidRPr="00B639DE">
        <w:rPr>
          <w:rFonts w:ascii="Arial" w:hAnsi="Arial" w:cs="Arial"/>
          <w:color w:val="44546A" w:themeColor="text2"/>
          <w:sz w:val="28"/>
          <w:szCs w:val="28"/>
        </w:rPr>
        <w:t xml:space="preserve"> then we are obliged to hold your information for longer. Please refer to the sections below to determine how long we will hold your records.</w:t>
      </w:r>
    </w:p>
    <w:p w:rsidR="00073E97" w:rsidRPr="00B639DE" w:rsidRDefault="00073E97">
      <w:pPr>
        <w:rPr>
          <w:rFonts w:ascii="Arial" w:hAnsi="Arial" w:cs="Arial"/>
          <w:color w:val="44546A" w:themeColor="text2"/>
          <w:sz w:val="28"/>
          <w:szCs w:val="28"/>
          <w:u w:val="single"/>
        </w:rPr>
      </w:pPr>
    </w:p>
    <w:p w:rsidR="00073E97" w:rsidRPr="00073E97" w:rsidRDefault="00073E97" w:rsidP="00073E97">
      <w:pPr>
        <w:rPr>
          <w:rFonts w:ascii="Times New Roman" w:eastAsia="Times New Roman" w:hAnsi="Times New Roman" w:cs="Times New Roman"/>
          <w:color w:val="44546A" w:themeColor="text2"/>
        </w:rPr>
      </w:pPr>
    </w:p>
    <w:p w:rsidR="00073E97" w:rsidRPr="00B639DE" w:rsidRDefault="00073E97" w:rsidP="00073E97">
      <w:pPr>
        <w:pStyle w:val="NormalWeb"/>
        <w:spacing w:before="0" w:beforeAutospacing="0" w:after="225" w:afterAutospacing="0"/>
        <w:rPr>
          <w:rFonts w:ascii="Arial" w:hAnsi="Arial" w:cs="Arial"/>
          <w:color w:val="44546A" w:themeColor="text2"/>
          <w:sz w:val="28"/>
          <w:szCs w:val="28"/>
        </w:rPr>
      </w:pPr>
      <w:r w:rsidRPr="00B639DE">
        <w:rPr>
          <w:rStyle w:val="Emphasis"/>
          <w:rFonts w:ascii="Arial" w:hAnsi="Arial" w:cs="Arial"/>
          <w:bCs/>
          <w:i w:val="0"/>
          <w:color w:val="44546A" w:themeColor="text2"/>
          <w:sz w:val="28"/>
          <w:szCs w:val="28"/>
        </w:rPr>
        <w:t>(1) Business contracts and arrangements</w:t>
      </w:r>
    </w:p>
    <w:p w:rsidR="00073E97" w:rsidRPr="00B639DE" w:rsidRDefault="00073E97" w:rsidP="00073E97">
      <w:pPr>
        <w:pStyle w:val="NormalWeb"/>
        <w:spacing w:before="0" w:beforeAutospacing="0" w:after="225" w:afterAutospacing="0"/>
        <w:rPr>
          <w:rFonts w:ascii="Arial" w:hAnsi="Arial" w:cs="Arial"/>
          <w:color w:val="44546A" w:themeColor="text2"/>
          <w:sz w:val="28"/>
          <w:szCs w:val="28"/>
        </w:rPr>
      </w:pPr>
      <w:r w:rsidRPr="00B639DE">
        <w:rPr>
          <w:rFonts w:ascii="Arial" w:hAnsi="Arial" w:cs="Arial"/>
          <w:color w:val="44546A" w:themeColor="text2"/>
          <w:sz w:val="28"/>
          <w:szCs w:val="28"/>
        </w:rPr>
        <w:t>The Limitation Act 1980 (Section 5) states that all business contracts, agreements and other arrangements need to be safely stored for the length of the contract and for six years afterwards.</w:t>
      </w:r>
    </w:p>
    <w:p w:rsidR="00073E97" w:rsidRPr="00B639DE" w:rsidRDefault="00073E97" w:rsidP="00073E97">
      <w:pPr>
        <w:pStyle w:val="NormalWeb"/>
        <w:spacing w:before="0" w:beforeAutospacing="0" w:after="225" w:afterAutospacing="0"/>
        <w:rPr>
          <w:rFonts w:ascii="Arial" w:hAnsi="Arial" w:cs="Arial"/>
          <w:color w:val="44546A" w:themeColor="text2"/>
          <w:sz w:val="28"/>
          <w:szCs w:val="28"/>
        </w:rPr>
      </w:pPr>
      <w:r w:rsidRPr="00B639DE">
        <w:rPr>
          <w:rStyle w:val="Emphasis"/>
          <w:rFonts w:ascii="Arial" w:hAnsi="Arial" w:cs="Arial"/>
          <w:bCs/>
          <w:i w:val="0"/>
          <w:color w:val="44546A" w:themeColor="text2"/>
          <w:sz w:val="28"/>
          <w:szCs w:val="28"/>
        </w:rPr>
        <w:t>(2) Pensions</w:t>
      </w:r>
    </w:p>
    <w:p w:rsidR="00073E97" w:rsidRPr="00B639DE" w:rsidRDefault="00073E97" w:rsidP="00073E97">
      <w:pPr>
        <w:pStyle w:val="NormalWeb"/>
        <w:spacing w:before="0" w:beforeAutospacing="0" w:after="225" w:afterAutospacing="0"/>
        <w:rPr>
          <w:rFonts w:ascii="Arial" w:hAnsi="Arial" w:cs="Arial"/>
          <w:color w:val="44546A" w:themeColor="text2"/>
          <w:sz w:val="28"/>
          <w:szCs w:val="28"/>
        </w:rPr>
      </w:pPr>
      <w:r w:rsidRPr="00B639DE">
        <w:rPr>
          <w:rFonts w:ascii="Arial" w:hAnsi="Arial" w:cs="Arial"/>
          <w:color w:val="44546A" w:themeColor="text2"/>
          <w:sz w:val="28"/>
          <w:szCs w:val="28"/>
        </w:rPr>
        <w:t>The Registered Pension Scheme (Provision of Information) Regulations 2006 (No. 18) demands that business data and documents concerning pension schemes require a minimum storage time of six years.</w:t>
      </w:r>
    </w:p>
    <w:p w:rsidR="00073E97" w:rsidRPr="00B639DE" w:rsidRDefault="00875222" w:rsidP="00073E97">
      <w:pPr>
        <w:pStyle w:val="NormalWeb"/>
        <w:spacing w:before="0" w:beforeAutospacing="0" w:after="225" w:afterAutospacing="0"/>
        <w:rPr>
          <w:rFonts w:ascii="Arial" w:hAnsi="Arial" w:cs="Arial"/>
          <w:color w:val="44546A" w:themeColor="text2"/>
          <w:sz w:val="28"/>
          <w:szCs w:val="28"/>
        </w:rPr>
      </w:pPr>
      <w:r w:rsidRPr="00B639DE">
        <w:rPr>
          <w:rStyle w:val="Emphasis"/>
          <w:rFonts w:ascii="Arial" w:hAnsi="Arial" w:cs="Arial"/>
          <w:bCs/>
          <w:i w:val="0"/>
          <w:color w:val="44546A" w:themeColor="text2"/>
          <w:sz w:val="28"/>
          <w:szCs w:val="28"/>
        </w:rPr>
        <w:t>(3</w:t>
      </w:r>
      <w:r w:rsidR="00073E97" w:rsidRPr="00B639DE">
        <w:rPr>
          <w:rStyle w:val="Emphasis"/>
          <w:rFonts w:ascii="Arial" w:hAnsi="Arial" w:cs="Arial"/>
          <w:bCs/>
          <w:i w:val="0"/>
          <w:color w:val="44546A" w:themeColor="text2"/>
          <w:sz w:val="28"/>
          <w:szCs w:val="28"/>
        </w:rPr>
        <w:t>) Workplace injuries</w:t>
      </w:r>
    </w:p>
    <w:p w:rsidR="00073E97" w:rsidRPr="00B639DE" w:rsidRDefault="00073E97" w:rsidP="00073E97">
      <w:pPr>
        <w:pStyle w:val="NormalWeb"/>
        <w:spacing w:before="0" w:beforeAutospacing="0" w:after="225" w:afterAutospacing="0"/>
        <w:rPr>
          <w:rFonts w:ascii="Arial" w:hAnsi="Arial" w:cs="Arial"/>
          <w:color w:val="44546A" w:themeColor="text2"/>
          <w:sz w:val="28"/>
          <w:szCs w:val="28"/>
        </w:rPr>
      </w:pPr>
      <w:r w:rsidRPr="00B639DE">
        <w:rPr>
          <w:rFonts w:ascii="Arial" w:hAnsi="Arial" w:cs="Arial"/>
          <w:color w:val="44546A" w:themeColor="text2"/>
          <w:sz w:val="28"/>
          <w:szCs w:val="28"/>
        </w:rPr>
        <w:t>According to Regulation 12, of the Reporting of Injuries, Diseases and Dangerous Occurrences Regulations 2013, accident reports need to be retained for a minimum of three years. The maximum retention period is dependent upon general restrictions regarding personal data.</w:t>
      </w:r>
    </w:p>
    <w:p w:rsidR="00073E97" w:rsidRPr="00B639DE" w:rsidRDefault="00621BCE" w:rsidP="00073E97">
      <w:pPr>
        <w:pStyle w:val="NormalWeb"/>
        <w:spacing w:before="0" w:beforeAutospacing="0" w:after="225" w:afterAutospacing="0"/>
        <w:rPr>
          <w:rFonts w:ascii="Arial" w:hAnsi="Arial" w:cs="Arial"/>
          <w:color w:val="44546A" w:themeColor="text2"/>
          <w:sz w:val="28"/>
          <w:szCs w:val="28"/>
        </w:rPr>
      </w:pPr>
      <w:r w:rsidRPr="00B639DE">
        <w:rPr>
          <w:rStyle w:val="Emphasis"/>
          <w:rFonts w:ascii="Arial" w:hAnsi="Arial" w:cs="Arial"/>
          <w:bCs/>
          <w:i w:val="0"/>
          <w:color w:val="44546A" w:themeColor="text2"/>
          <w:sz w:val="28"/>
          <w:szCs w:val="28"/>
        </w:rPr>
        <w:t>(4</w:t>
      </w:r>
      <w:r w:rsidR="00073E97" w:rsidRPr="00B639DE">
        <w:rPr>
          <w:rStyle w:val="Emphasis"/>
          <w:rFonts w:ascii="Arial" w:hAnsi="Arial" w:cs="Arial"/>
          <w:bCs/>
          <w:i w:val="0"/>
          <w:color w:val="44546A" w:themeColor="text2"/>
          <w:sz w:val="28"/>
          <w:szCs w:val="28"/>
        </w:rPr>
        <w:t>) VAT</w:t>
      </w:r>
      <w:r w:rsidR="00875222" w:rsidRPr="00B639DE">
        <w:rPr>
          <w:rStyle w:val="Emphasis"/>
          <w:rFonts w:ascii="Arial" w:hAnsi="Arial" w:cs="Arial"/>
          <w:bCs/>
          <w:i w:val="0"/>
          <w:color w:val="44546A" w:themeColor="text2"/>
          <w:sz w:val="28"/>
          <w:szCs w:val="28"/>
        </w:rPr>
        <w:t xml:space="preserve"> and HMRC</w:t>
      </w:r>
    </w:p>
    <w:p w:rsidR="00073E97" w:rsidRPr="00B639DE" w:rsidRDefault="00621BCE" w:rsidP="00073E97">
      <w:pPr>
        <w:pStyle w:val="NormalWeb"/>
        <w:spacing w:before="0" w:beforeAutospacing="0" w:after="225" w:afterAutospacing="0"/>
        <w:rPr>
          <w:rFonts w:ascii="Arial" w:hAnsi="Arial" w:cs="Arial"/>
          <w:color w:val="44546A" w:themeColor="text2"/>
          <w:sz w:val="28"/>
          <w:szCs w:val="28"/>
        </w:rPr>
      </w:pPr>
      <w:r w:rsidRPr="00B639DE">
        <w:rPr>
          <w:rFonts w:ascii="Arial" w:hAnsi="Arial" w:cs="Arial"/>
          <w:color w:val="44546A" w:themeColor="text2"/>
          <w:sz w:val="28"/>
          <w:szCs w:val="28"/>
        </w:rPr>
        <w:t>T</w:t>
      </w:r>
      <w:r w:rsidR="00073E97" w:rsidRPr="00B639DE">
        <w:rPr>
          <w:rFonts w:ascii="Arial" w:hAnsi="Arial" w:cs="Arial"/>
          <w:color w:val="44546A" w:themeColor="text2"/>
          <w:sz w:val="28"/>
          <w:szCs w:val="28"/>
        </w:rPr>
        <w:t>he VAT Act 1994 (Schedule 11, paragraph 6) and HMRC Notic</w:t>
      </w:r>
      <w:r w:rsidRPr="00B639DE">
        <w:rPr>
          <w:rFonts w:ascii="Arial" w:hAnsi="Arial" w:cs="Arial"/>
          <w:color w:val="44546A" w:themeColor="text2"/>
          <w:sz w:val="28"/>
          <w:szCs w:val="28"/>
        </w:rPr>
        <w:t xml:space="preserve">e 700/21 October 2013.  We will </w:t>
      </w:r>
      <w:r w:rsidR="00073E97" w:rsidRPr="00B639DE">
        <w:rPr>
          <w:rFonts w:ascii="Arial" w:hAnsi="Arial" w:cs="Arial"/>
          <w:color w:val="44546A" w:themeColor="text2"/>
          <w:sz w:val="28"/>
          <w:szCs w:val="28"/>
        </w:rPr>
        <w:t>keep these records for a minimum of six years from the date they were made.</w:t>
      </w:r>
    </w:p>
    <w:p w:rsidR="00621BCE" w:rsidRPr="00B639DE" w:rsidRDefault="00621BCE" w:rsidP="00621BCE">
      <w:pPr>
        <w:spacing w:after="225" w:line="570" w:lineRule="atLeast"/>
        <w:outlineLvl w:val="1"/>
        <w:rPr>
          <w:rFonts w:ascii="Arial" w:eastAsia="Times New Roman" w:hAnsi="Arial" w:cs="Arial"/>
          <w:bCs/>
          <w:color w:val="44546A" w:themeColor="text2"/>
          <w:sz w:val="28"/>
          <w:szCs w:val="28"/>
        </w:rPr>
      </w:pPr>
      <w:r w:rsidRPr="00B639DE">
        <w:rPr>
          <w:rFonts w:ascii="Arial" w:eastAsia="Times New Roman" w:hAnsi="Arial" w:cs="Arial"/>
          <w:bCs/>
          <w:color w:val="44546A" w:themeColor="text2"/>
          <w:sz w:val="28"/>
          <w:szCs w:val="28"/>
        </w:rPr>
        <w:t xml:space="preserve">(5) </w:t>
      </w:r>
      <w:r w:rsidRPr="00073E97">
        <w:rPr>
          <w:rFonts w:ascii="Arial" w:eastAsia="Times New Roman" w:hAnsi="Arial" w:cs="Arial"/>
          <w:bCs/>
          <w:color w:val="44546A" w:themeColor="text2"/>
          <w:sz w:val="28"/>
          <w:szCs w:val="28"/>
        </w:rPr>
        <w:t>Records Management Code of Practice for Health and Social Care 2016</w:t>
      </w:r>
    </w:p>
    <w:p w:rsidR="00621BCE" w:rsidRPr="00B639DE" w:rsidRDefault="00621BCE" w:rsidP="00621BCE">
      <w:pPr>
        <w:spacing w:after="225" w:line="570" w:lineRule="atLeast"/>
        <w:outlineLvl w:val="1"/>
        <w:rPr>
          <w:rFonts w:ascii="Arial" w:eastAsia="Times New Roman" w:hAnsi="Arial" w:cs="Arial"/>
          <w:bCs/>
          <w:color w:val="44546A" w:themeColor="text2"/>
          <w:sz w:val="28"/>
          <w:szCs w:val="28"/>
        </w:rPr>
      </w:pPr>
      <w:r w:rsidRPr="00B639DE">
        <w:rPr>
          <w:rFonts w:ascii="Arial" w:eastAsia="Times New Roman" w:hAnsi="Arial" w:cs="Arial"/>
          <w:bCs/>
          <w:color w:val="44546A" w:themeColor="text2"/>
          <w:sz w:val="28"/>
          <w:szCs w:val="28"/>
        </w:rPr>
        <w:lastRenderedPageBreak/>
        <w:t xml:space="preserve">We process and manage data that may contain patient sensitive information relating to subcontracts we deliver or directly with members of the public. </w:t>
      </w:r>
    </w:p>
    <w:p w:rsidR="00621BCE" w:rsidRPr="00B639DE" w:rsidRDefault="00621BCE" w:rsidP="00621BCE">
      <w:pPr>
        <w:spacing w:after="225" w:line="570" w:lineRule="atLeast"/>
        <w:outlineLvl w:val="1"/>
        <w:rPr>
          <w:rFonts w:ascii="Arial" w:eastAsia="Times New Roman" w:hAnsi="Arial" w:cs="Arial"/>
          <w:bCs/>
          <w:color w:val="44546A" w:themeColor="text2"/>
          <w:sz w:val="28"/>
          <w:szCs w:val="28"/>
        </w:rPr>
      </w:pPr>
      <w:r w:rsidRPr="00B639DE">
        <w:rPr>
          <w:rFonts w:ascii="Arial" w:eastAsia="Times New Roman" w:hAnsi="Arial" w:cs="Arial"/>
          <w:bCs/>
          <w:color w:val="44546A" w:themeColor="text2"/>
          <w:sz w:val="28"/>
          <w:szCs w:val="28"/>
        </w:rPr>
        <w:t xml:space="preserve">A separate document is posted on our website under the governance section </w:t>
      </w:r>
      <w:hyperlink r:id="rId4" w:history="1">
        <w:r w:rsidRPr="00B639DE">
          <w:rPr>
            <w:rStyle w:val="Hyperlink"/>
            <w:rFonts w:ascii="Arial" w:eastAsia="Times New Roman" w:hAnsi="Arial" w:cs="Arial"/>
            <w:bCs/>
            <w:color w:val="44546A" w:themeColor="text2"/>
            <w:sz w:val="28"/>
            <w:szCs w:val="28"/>
          </w:rPr>
          <w:t>www.1centralhealth.co.uk/governance</w:t>
        </w:r>
      </w:hyperlink>
      <w:r w:rsidRPr="00B639DE">
        <w:rPr>
          <w:rFonts w:ascii="Arial" w:eastAsia="Times New Roman" w:hAnsi="Arial" w:cs="Arial"/>
          <w:bCs/>
          <w:color w:val="44546A" w:themeColor="text2"/>
          <w:sz w:val="28"/>
          <w:szCs w:val="28"/>
        </w:rPr>
        <w:t xml:space="preserve">  and refers to the matrix around record keeping in Health and Social Care </w:t>
      </w:r>
    </w:p>
    <w:p w:rsidR="00621BCE" w:rsidRPr="00B639DE" w:rsidRDefault="00621BCE" w:rsidP="00621BCE">
      <w:pPr>
        <w:spacing w:after="225" w:line="570" w:lineRule="atLeast"/>
        <w:outlineLvl w:val="1"/>
        <w:rPr>
          <w:rFonts w:ascii="Arial" w:eastAsia="Times New Roman" w:hAnsi="Arial" w:cs="Arial"/>
          <w:bCs/>
          <w:color w:val="44546A" w:themeColor="text2"/>
          <w:sz w:val="28"/>
          <w:szCs w:val="28"/>
        </w:rPr>
      </w:pPr>
      <w:hyperlink r:id="rId5" w:history="1">
        <w:r w:rsidRPr="00B639DE">
          <w:rPr>
            <w:rStyle w:val="Hyperlink"/>
            <w:rFonts w:ascii="Arial" w:eastAsia="Times New Roman" w:hAnsi="Arial" w:cs="Arial"/>
            <w:bCs/>
            <w:color w:val="44546A" w:themeColor="text2"/>
            <w:sz w:val="28"/>
            <w:szCs w:val="28"/>
          </w:rPr>
          <w:t>https://digital.nhs.uk/data-and-information/looking-after-information/data-security-and-information-governance/codes-of-practice-for-handling-information-in-health-and-care</w:t>
        </w:r>
      </w:hyperlink>
    </w:p>
    <w:p w:rsidR="00621BCE" w:rsidRPr="00073E97" w:rsidRDefault="00621BCE" w:rsidP="00621BCE">
      <w:pPr>
        <w:spacing w:after="225" w:line="570" w:lineRule="atLeast"/>
        <w:outlineLvl w:val="1"/>
        <w:rPr>
          <w:rFonts w:ascii="Arial" w:eastAsia="Times New Roman" w:hAnsi="Arial" w:cs="Arial"/>
          <w:bCs/>
          <w:color w:val="44546A" w:themeColor="text2"/>
          <w:sz w:val="28"/>
          <w:szCs w:val="28"/>
        </w:rPr>
      </w:pPr>
    </w:p>
    <w:p w:rsidR="00073E97" w:rsidRPr="00B639DE" w:rsidRDefault="00073E97">
      <w:pPr>
        <w:rPr>
          <w:rFonts w:ascii="Arial" w:hAnsi="Arial" w:cs="Arial"/>
          <w:color w:val="44546A" w:themeColor="text2"/>
          <w:sz w:val="28"/>
          <w:szCs w:val="28"/>
          <w:u w:val="single"/>
        </w:rPr>
      </w:pPr>
    </w:p>
    <w:sectPr w:rsidR="00073E97" w:rsidRPr="00B639DE" w:rsidSect="000520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97"/>
    <w:rsid w:val="00052017"/>
    <w:rsid w:val="00073E97"/>
    <w:rsid w:val="002F0203"/>
    <w:rsid w:val="00362326"/>
    <w:rsid w:val="00411FB4"/>
    <w:rsid w:val="005D1B58"/>
    <w:rsid w:val="00621BCE"/>
    <w:rsid w:val="00875222"/>
    <w:rsid w:val="00921115"/>
    <w:rsid w:val="00B639DE"/>
    <w:rsid w:val="00C16C9C"/>
    <w:rsid w:val="00E777DC"/>
    <w:rsid w:val="00E8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DC8875"/>
  <w14:defaultImageDpi w14:val="32767"/>
  <w15:chartTrackingRefBased/>
  <w15:docId w15:val="{EE81690C-ACAE-B446-9566-FACEB1C6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73E9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E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3E9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73E97"/>
    <w:rPr>
      <w:i/>
      <w:iCs/>
    </w:rPr>
  </w:style>
  <w:style w:type="character" w:customStyle="1" w:styleId="apple-converted-space">
    <w:name w:val="apple-converted-space"/>
    <w:basedOn w:val="DefaultParagraphFont"/>
    <w:rsid w:val="00073E97"/>
  </w:style>
  <w:style w:type="character" w:styleId="Hyperlink">
    <w:name w:val="Hyperlink"/>
    <w:basedOn w:val="DefaultParagraphFont"/>
    <w:uiPriority w:val="99"/>
    <w:unhideWhenUsed/>
    <w:rsid w:val="00621BCE"/>
    <w:rPr>
      <w:color w:val="0563C1" w:themeColor="hyperlink"/>
      <w:u w:val="single"/>
    </w:rPr>
  </w:style>
  <w:style w:type="character" w:styleId="UnresolvedMention">
    <w:name w:val="Unresolved Mention"/>
    <w:basedOn w:val="DefaultParagraphFont"/>
    <w:uiPriority w:val="99"/>
    <w:rsid w:val="0062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24337">
      <w:bodyDiv w:val="1"/>
      <w:marLeft w:val="0"/>
      <w:marRight w:val="0"/>
      <w:marTop w:val="0"/>
      <w:marBottom w:val="0"/>
      <w:divBdr>
        <w:top w:val="none" w:sz="0" w:space="0" w:color="auto"/>
        <w:left w:val="none" w:sz="0" w:space="0" w:color="auto"/>
        <w:bottom w:val="none" w:sz="0" w:space="0" w:color="auto"/>
        <w:right w:val="none" w:sz="0" w:space="0" w:color="auto"/>
      </w:divBdr>
    </w:div>
    <w:div w:id="21257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ital.nhs.uk/data-and-information/looking-after-information/data-security-and-information-governance/codes-of-practice-for-handling-information-in-health-and-care" TargetMode="External"/><Relationship Id="rId4" Type="http://schemas.openxmlformats.org/officeDocument/2006/relationships/hyperlink" Target="http://www.1centralhealth.co.uk/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Dalton</dc:creator>
  <cp:keywords/>
  <dc:description/>
  <cp:lastModifiedBy>Len Dalton</cp:lastModifiedBy>
  <cp:revision>2</cp:revision>
  <dcterms:created xsi:type="dcterms:W3CDTF">2018-05-23T11:39:00Z</dcterms:created>
  <dcterms:modified xsi:type="dcterms:W3CDTF">2018-05-23T11:39:00Z</dcterms:modified>
</cp:coreProperties>
</file>